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56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Статистические данные и показатели, характеризующие деятельность Государственного комитета Псковской области по имущественным отношениям по состоянию 31.12.2016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pPr w:bottomFromText="0" w:horzAnchor="text" w:leftFromText="180" w:rightFromText="180" w:tblpX="-176" w:tblpY="1" w:topFromText="0" w:vertAnchor="text"/>
        <w:tblW w:w="9570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958"/>
        <w:gridCol w:w="6379"/>
        <w:gridCol w:w="2233"/>
      </w:tblGrid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</w:p>
        </w:tc>
      </w:tr>
      <w:tr>
        <w:trPr/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Учтено в реестре имущества, находящегося в собственности Псковской области 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-недвижимое имущество, в том числе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5314</w:t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-земельные участки 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1560</w:t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движимое имущество: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21352</w:t>
            </w:r>
          </w:p>
        </w:tc>
      </w:tr>
      <w:tr>
        <w:trPr/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Учтено в реестре имущества, по разделу «Казна области»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-недвижимое имущество, в том числе: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794</w:t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-земельные участки 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</w:t>
            </w:r>
          </w:p>
        </w:tc>
      </w:tr>
      <w:tr>
        <w:trPr>
          <w:trHeight w:val="485" w:hRule="atLeast"/>
        </w:trPr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движимое имущество: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1330</w:t>
            </w:r>
          </w:p>
        </w:tc>
      </w:tr>
      <w:tr>
        <w:trPr/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 в собственность области из федеральной собственности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объектов  недвижимого имущества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842" w:leader="none"/>
                <w:tab w:val="center" w:pos="100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>21</w:t>
            </w:r>
          </w:p>
        </w:tc>
      </w:tr>
      <w:tr>
        <w:trPr>
          <w:trHeight w:val="402" w:hRule="atLeast"/>
        </w:trPr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земельные участки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>
        <w:trPr>
          <w:trHeight w:val="402" w:hRule="atLeast"/>
        </w:trPr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-движимого имущества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>
        <w:trPr>
          <w:trHeight w:val="691" w:hRule="atLeast"/>
        </w:trPr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Переданы из собственности области в муниципальную  собственность районов:</w:t>
            </w:r>
          </w:p>
        </w:tc>
      </w:tr>
      <w:tr>
        <w:trPr>
          <w:trHeight w:val="418" w:hRule="atLeast"/>
        </w:trPr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объектов  недвижимого имущества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земельные участки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-движимого имущество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>
        <w:trPr/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Переданы из собственности области в федеральную собственность 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движимого имущество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>
        <w:trPr/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Приняты в собственность области из муниципальной собственности </w:t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-недвижимого имущества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-земельные участки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rPr/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-движимого имущество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>
        <w:trPr/>
        <w:tc>
          <w:tcPr>
            <w:tcW w:w="9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bookmarkStart w:id="0" w:name="__DdeLink__2327_801550663"/>
            <w:r>
              <w:rPr>
                <w:sz w:val="28"/>
                <w:szCs w:val="28"/>
              </w:rPr>
              <w:t>Предоставлено в</w:t>
            </w:r>
            <w:r>
              <w:rPr>
                <w:sz w:val="28"/>
                <w:szCs w:val="28"/>
              </w:rPr>
              <w:t xml:space="preserve"> аренд</w:t>
            </w:r>
            <w:r>
              <w:rPr>
                <w:sz w:val="28"/>
                <w:szCs w:val="28"/>
              </w:rPr>
              <w:t>у</w:t>
            </w:r>
            <w:bookmarkEnd w:id="0"/>
            <w:r>
              <w:rPr>
                <w:sz w:val="28"/>
                <w:szCs w:val="28"/>
              </w:rPr>
              <w:t xml:space="preserve"> земельных участков, государственная и муниципальная собственность на которые не разграничена, расположенных на территории приграничных районов Псковской области</w:t>
            </w:r>
          </w:p>
        </w:tc>
        <w:tc>
          <w:tcPr>
            <w:tcW w:w="22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>
        <w:trPr/>
        <w:tc>
          <w:tcPr>
            <w:tcW w:w="9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Предоставлено в собственность</w:t>
            </w:r>
            <w:r>
              <w:rPr>
                <w:sz w:val="28"/>
                <w:szCs w:val="28"/>
              </w:rPr>
              <w:t xml:space="preserve"> земельных участков, государственная и муниципальная собственность на которые не разграничена, расположенных на территории приграничных районов Псковской области</w:t>
            </w:r>
          </w:p>
        </w:tc>
        <w:tc>
          <w:tcPr>
            <w:tcW w:w="22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</w:t>
            </w:r>
          </w:p>
        </w:tc>
      </w:tr>
      <w:tr>
        <w:trPr/>
        <w:tc>
          <w:tcPr>
            <w:tcW w:w="9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3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Заключено соглашений о перераспределении  </w:t>
            </w:r>
            <w:r>
              <w:rPr>
                <w:rFonts w:eastAsia="Arial" w:cs="Arial"/>
                <w:b w:val="false"/>
                <w:bCs w:val="false"/>
                <w:color w:val="000000"/>
                <w:sz w:val="28"/>
                <w:szCs w:val="28"/>
                <w:lang w:val="ru-RU" w:eastAsia="zxx" w:bidi="ar-SA"/>
              </w:rPr>
              <w:t xml:space="preserve">земель и (или) земельных участков, </w:t>
            </w:r>
            <w:r>
              <w:rPr>
                <w:rFonts w:eastAsia="Arial" w:cs="Arial"/>
                <w:b w:val="false"/>
                <w:bCs w:val="false"/>
                <w:color w:val="000000"/>
                <w:sz w:val="28"/>
                <w:szCs w:val="28"/>
                <w:lang w:val="ru-RU" w:eastAsia="zxx" w:bidi="ar-SA"/>
              </w:rPr>
              <w:t>расположенных на территории приграничных районов Псковской области</w:t>
            </w:r>
          </w:p>
        </w:tc>
        <w:tc>
          <w:tcPr>
            <w:tcW w:w="22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</w:tr>
      <w:tr>
        <w:trPr/>
        <w:tc>
          <w:tcPr>
            <w:tcW w:w="9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Предоставлено 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безвозмездное пользование</w:t>
            </w:r>
            <w:r>
              <w:rPr>
                <w:sz w:val="28"/>
                <w:szCs w:val="28"/>
              </w:rPr>
              <w:t xml:space="preserve"> земельных участков, государственная и муниципальная собственность на которые не разграничена, расположенных на территории приграничных районов Псковской области</w:t>
            </w:r>
          </w:p>
        </w:tc>
        <w:tc>
          <w:tcPr>
            <w:tcW w:w="22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>
      <w:pPr>
        <w:pStyle w:val="Normal"/>
        <w:snapToGrid w:val="false"/>
        <w:ind w:firstLine="708"/>
        <w:jc w:val="both"/>
        <w:rPr>
          <w:rFonts w:cs="Times New Roman"/>
          <w:b/>
          <w:b/>
          <w:szCs w:val="20"/>
        </w:rPr>
      </w:pPr>
      <w:r>
        <w:rPr>
          <w:rFonts w:cs="Times New Roman"/>
          <w:b/>
          <w:szCs w:val="20"/>
        </w:rPr>
        <w:br/>
      </w:r>
    </w:p>
    <w:p>
      <w:pPr>
        <w:pStyle w:val="Normal"/>
        <w:snapToGrid w:val="false"/>
        <w:jc w:val="both"/>
        <w:rPr>
          <w:rFonts w:cs="Times New Roman"/>
          <w:b/>
          <w:b/>
          <w:szCs w:val="20"/>
        </w:rPr>
      </w:pPr>
      <w:r>
        <w:rPr>
          <w:rFonts w:cs="Times New Roman"/>
          <w:b/>
          <w:szCs w:val="20"/>
        </w:rPr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Управление и распоряжение государственным имуществом Псковской области приоритетными задачами Государственного комитета Псковской области по имущественным отношениям являются следующие: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эффективное использование государственного имущества, закрепленного за государственными предприятиями, направленное на пополнение доходной части бюджета в виде части прибыли, перечисляемой в бюджет области;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приватизация государственного имущества;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сдача в аренду государственного имущества;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обеспечение сохранности государственного имущества;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учет и оформление прав на государственное имущество.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</w:p>
    <w:p>
      <w:pPr>
        <w:pStyle w:val="Normal"/>
        <w:spacing w:before="0" w:after="0"/>
        <w:ind w:firstLine="283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целях реализации прогнозного плана (программы) приватизации государственного имущества в соответствии с приложение № 10 к Закону Псковской области «Об областном бюджете, на 2016 год и на плановый период  2017 и  2018  годов» </w:t>
      </w:r>
      <w:r>
        <w:rPr>
          <w:sz w:val="28"/>
          <w:szCs w:val="28"/>
        </w:rPr>
        <w:t xml:space="preserve"> </w:t>
      </w:r>
      <w:r>
        <w:rPr>
          <w:rFonts w:cs="Times New Roman"/>
          <w:bCs/>
          <w:color w:val="000000"/>
          <w:sz w:val="28"/>
          <w:szCs w:val="28"/>
        </w:rPr>
        <w:t>от 29 декабря 2015 г. № 1616-ОЗ</w:t>
      </w:r>
      <w:r>
        <w:rPr>
          <w:rFonts w:cs="Times New Roman"/>
          <w:b/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и прогнозного плана (программы) приватизации объектов области, стоимость каждого из которых не превышает 2000000 рублей, на 2016 год, утвержденного Постановлением Администрации Псковской области  от 19.02.2016 № 25 «Об утверждении Прогнозного плана(программы) приватизации на 206 год»  было объявлено 8 аукционов по продаже объектов недвижимого имущества, 9 конкурсов, 3 аукцион по средствам публичного предложения, с общим количеством 38 лотов.</w:t>
      </w:r>
    </w:p>
    <w:p>
      <w:pPr>
        <w:pStyle w:val="Normal"/>
        <w:spacing w:lineRule="atLeast" w:line="200"/>
        <w:jc w:val="both"/>
        <w:rPr>
          <w:rFonts w:cs="Tahoma"/>
          <w:b/>
          <w:b/>
          <w:sz w:val="28"/>
          <w:szCs w:val="28"/>
        </w:rPr>
      </w:pPr>
      <w:r>
        <w:rPr>
          <w:rFonts w:cs="Tahoma"/>
          <w:b/>
          <w:sz w:val="28"/>
          <w:szCs w:val="28"/>
        </w:rPr>
      </w:r>
    </w:p>
    <w:p>
      <w:pPr>
        <w:pStyle w:val="Normal"/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Сведения о поступлении доходов в областной бюджет: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eastAsia="Times New Roman"/>
          <w:sz w:val="28"/>
          <w:szCs w:val="28"/>
        </w:rPr>
        <w:t>тыс. руб.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</w:p>
    <w:tbl>
      <w:tblPr>
        <w:tblW w:w="9498" w:type="dxa"/>
        <w:jc w:val="left"/>
        <w:tblInd w:w="-24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32" w:type="dxa"/>
          <w:bottom w:w="0" w:type="dxa"/>
          <w:right w:w="40" w:type="dxa"/>
        </w:tblCellMar>
        <w:tblLook w:val="0000"/>
      </w:tblPr>
      <w:tblGrid>
        <w:gridCol w:w="7939"/>
        <w:gridCol w:w="1558"/>
      </w:tblGrid>
      <w:tr>
        <w:trPr>
          <w:trHeight w:val="1123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8"/>
              <w:ind w:left="10" w:firstLine="5"/>
              <w:jc w:val="both"/>
              <w:rPr>
                <w:sz w:val="24"/>
              </w:rPr>
            </w:pPr>
            <w:r>
              <w:rPr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РФ</w:t>
            </w: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1 608,29</w:t>
            </w:r>
          </w:p>
        </w:tc>
      </w:tr>
      <w:tr>
        <w:trPr>
          <w:trHeight w:val="1680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left="10" w:hanging="0"/>
              <w:jc w:val="both"/>
              <w:rPr/>
            </w:pPr>
            <w:r>
              <w:rPr>
                <w:sz w:val="24"/>
              </w:rPr>
              <w:t xml:space="preserve">Доходы, получаемые в виде арендной платы, а также средства от продажи  права на заключение договоров </w:t>
            </w:r>
            <w:r>
              <w:rPr>
                <w:spacing w:val="-1"/>
                <w:sz w:val="24"/>
              </w:rPr>
              <w:t xml:space="preserve">аренды за земли, находящиеся в собственности субъектов </w:t>
            </w:r>
            <w:r>
              <w:rPr>
                <w:sz w:val="24"/>
              </w:rPr>
              <w:t>РФ (за исключением зем. уч-ков автономных учреждений субъектов РФ, а также зем. уч-ков ГУП субъектов РФ, в том числе казенных)</w:t>
            </w: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8 084,9</w:t>
            </w:r>
          </w:p>
        </w:tc>
      </w:tr>
      <w:tr>
        <w:trPr>
          <w:trHeight w:val="1186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8"/>
              <w:ind w:left="10" w:hanging="0"/>
              <w:jc w:val="both"/>
              <w:rPr/>
            </w:pPr>
            <w:r>
              <w:rPr>
                <w:sz w:val="24"/>
              </w:rPr>
              <w:t>Доходы от сдачи в аренду имущества, находящегося в оперативном управлении органов гос. власти субъектов РФ   и   созданных   ими   учреждений   (за   исключением имущества автономных учреждений субъектов РФ)</w:t>
            </w: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2 777,7</w:t>
            </w:r>
          </w:p>
        </w:tc>
      </w:tr>
      <w:tr>
        <w:trPr>
          <w:trHeight w:val="845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left="5" w:hanging="0"/>
              <w:jc w:val="both"/>
              <w:rPr/>
            </w:pPr>
            <w:r>
              <w:rPr>
                <w:sz w:val="24"/>
              </w:rPr>
              <w:t>Доходы  от  перечисления  части   прибыли,  остающейся после уплаты налогов  и  иных обязательных платежей ГУП субъектов РФ</w:t>
            </w: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5 855</w:t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70" w:hRule="atLeast"/>
        </w:trPr>
        <w:tc>
          <w:tcPr>
            <w:tcW w:w="7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гос.власти субъектов РФ (за исключением им-ва автономных учр. субъектов РФ) в части реализации основных средств по указанному имуществу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  <w:vAlign w:val="bottom"/>
          </w:tcPr>
          <w:p>
            <w:pPr>
              <w:pStyle w:val="Normal"/>
              <w:shd w:val="clear" w:color="auto" w:fill="FFFFFF"/>
              <w:ind w:right="369" w:hanging="0"/>
              <w:jc w:val="center"/>
              <w:rPr>
                <w:sz w:val="24"/>
              </w:rPr>
            </w:pPr>
            <w:r>
              <w:rPr>
                <w:sz w:val="24"/>
              </w:rPr>
              <w:t>97,86</w:t>
            </w:r>
          </w:p>
          <w:p>
            <w:pPr>
              <w:pStyle w:val="Normal"/>
              <w:shd w:val="clear" w:color="auto" w:fill="FFFFFF"/>
              <w:ind w:right="369" w:hanging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ind w:right="369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>
            <w:pPr>
              <w:pStyle w:val="Normal"/>
              <w:shd w:val="clear" w:color="auto" w:fill="FFFFFF"/>
              <w:ind w:right="369" w:hanging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392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jc w:val="both"/>
              <w:rPr/>
            </w:pPr>
            <w:r>
              <w:rPr>
                <w:sz w:val="24"/>
              </w:rPr>
              <w:t>Доходы от реализации иного имущества, находящегося в собственности     субъектов  РФ  (за исключением  им-ва автономных   учр.   субъектов  РФ,   а  также  им-ва  ГУП субъектов РФ, в том числе казенных) в части реализации основных средств по указанному имуществу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20 090,99</w:t>
            </w:r>
          </w:p>
        </w:tc>
      </w:tr>
      <w:tr>
        <w:trPr>
          <w:trHeight w:val="1118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/>
            </w:pPr>
            <w:r>
              <w:rPr>
                <w:spacing w:val="-2"/>
                <w:sz w:val="24"/>
              </w:rPr>
              <w:t>Доходы от продажи земельных участков, находящихся в собственности субъектов РФ (за исключением земельных участков автономных учреждений субъектов РФ, а также зем. участков ГУП субъектов РФ, в том числе казенных)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31,32</w:t>
            </w:r>
          </w:p>
        </w:tc>
      </w:tr>
      <w:tr>
        <w:trPr>
          <w:trHeight w:val="1118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расположенные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казенных)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37734,9</w:t>
            </w:r>
          </w:p>
        </w:tc>
      </w:tr>
      <w:tr>
        <w:trPr>
          <w:trHeight w:val="1118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Доходы, получаемые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15556,84</w:t>
            </w:r>
          </w:p>
        </w:tc>
      </w:tr>
      <w:tr>
        <w:trPr>
          <w:trHeight w:val="1118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Доходы, полученные по платежам за увеличение площади земельных участков по соглашениям о перераспределении земель и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32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1160,53</w:t>
            </w:r>
          </w:p>
        </w:tc>
      </w:tr>
    </w:tbl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</w:p>
    <w:p>
      <w:pPr>
        <w:pStyle w:val="Normal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В 2016 году  проведено 12 плановых и 4 внеплановые  проверки эффективности использования имущества, закрепленного на праве оперативного управления за государственными учреждениями и на праве хозяйственного ведения за государственными унитарными предприятиями.</w:t>
      </w:r>
    </w:p>
    <w:p>
      <w:pPr>
        <w:pStyle w:val="Normal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200"/>
        <w:jc w:val="both"/>
        <w:rPr>
          <w:rFonts w:cs="Tahoma"/>
          <w:b/>
          <w:b/>
          <w:sz w:val="28"/>
          <w:szCs w:val="28"/>
        </w:rPr>
      </w:pPr>
      <w:r>
        <w:rPr>
          <w:rFonts w:cs="Tahoma"/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snapToGrid w:val="false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0"/>
        <w:b/>
        <w:szCs w:val="20"/>
        <w:bCs w:val="false"/>
        <w:rFonts w:cs="Times New Roman"/>
        <w:lang w:val="ru-RU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6140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auto"/>
      <w:sz w:val="20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Times New Roman"/>
      <w:b/>
      <w:bCs w:val="false"/>
      <w:sz w:val="20"/>
      <w:szCs w:val="20"/>
      <w:lang w:val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/>
    <w:rPr/>
  </w:style>
  <w:style w:type="paragraph" w:styleId="Style20">
    <w:name w:val="Заголовок таблицы"/>
    <w:basedOn w:val="Style19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Application>LibreOffice/5.2.5.1$Windows_x86 LibreOffice_project/0312e1a284a7d50ca85a365c316c7abbf20a4d22</Application>
  <Pages>4</Pages>
  <Words>712</Words>
  <Characters>4834</Characters>
  <CharactersWithSpaces>5632</CharactersWithSpaces>
  <Paragraphs>94</Paragraphs>
  <Company>ГК по имущественным отношениям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2019-06-06T08:38:00Z</dcterms:created>
  <dc:creator>user</dc:creator>
  <dc:description/>
  <dc:language>ru-RU</dc:language>
  <cp:lastModifiedBy/>
  <dcterms:modified xsi:type="dcterms:W3CDTF">2019-06-10T12:35:49Z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ГК по имущественным отношениям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