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6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Статистические данные и показатели, характеризующие деятельность Государственного комитета Псковской области по имущественным отношениям по состоянию 31.12.2017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pPr w:bottomFromText="0" w:horzAnchor="text" w:leftFromText="180" w:rightFromText="180" w:tblpX="-176" w:tblpY="1" w:topFromText="0" w:vertAnchor="text"/>
        <w:tblW w:w="9570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958"/>
        <w:gridCol w:w="6379"/>
        <w:gridCol w:w="2233"/>
      </w:tblGrid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Учтено в реестре имущества, находящегося в собственности Псковской области 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5433</w:t>
            </w:r>
          </w:p>
        </w:tc>
      </w:tr>
      <w:tr>
        <w:trPr>
          <w:trHeight w:val="487" w:hRule="atLeast"/>
        </w:trPr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1756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20344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Учтено в реестре имущества, по разделу «Казна области»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числе: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1179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</w:t>
            </w:r>
          </w:p>
        </w:tc>
      </w:tr>
      <w:tr>
        <w:trPr>
          <w:trHeight w:val="485" w:hRule="atLeast"/>
        </w:trPr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818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в собственность области из федеральной собственности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842" w:leader="none"/>
                <w:tab w:val="center" w:pos="1008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>
        <w:trPr>
          <w:trHeight w:val="409" w:hRule="atLeast"/>
        </w:trPr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земельные участки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>
        <w:trPr>
          <w:trHeight w:val="409" w:hRule="atLeast"/>
        </w:trPr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движимое  имущество (православная энциклопедия)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</w:tr>
      <w:tr>
        <w:trPr>
          <w:trHeight w:val="691" w:hRule="atLeast"/>
        </w:trPr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Переданы из собственности области в муниципальную  собственность районов:</w:t>
            </w:r>
          </w:p>
        </w:tc>
      </w:tr>
      <w:tr>
        <w:trPr>
          <w:trHeight w:val="553" w:hRule="atLeast"/>
        </w:trPr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земельные участки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-движимого имущество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Переданы из собственности области в федеральную собственность 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недвижимого имущество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Приняты в собственность области из муниципальной собственности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-недвижимого имущества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-земельные участки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-движимого имущество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</w:t>
            </w:r>
            <w:r>
              <w:rPr>
                <w:sz w:val="28"/>
                <w:szCs w:val="28"/>
              </w:rPr>
              <w:t xml:space="preserve"> аренд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 собственность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Заключено соглашений о перераспределении  </w:t>
            </w:r>
            <w:r>
              <w:rPr>
                <w:rFonts w:eastAsia="Arial" w:cs="Arial"/>
                <w:b w:val="false"/>
                <w:bCs w:val="false"/>
                <w:color w:val="000000"/>
                <w:sz w:val="28"/>
                <w:szCs w:val="28"/>
                <w:lang w:val="ru-RU" w:eastAsia="zxx" w:bidi="ar-SA"/>
              </w:rPr>
              <w:t xml:space="preserve">земель и (или) земельных участков, </w:t>
            </w:r>
            <w:r>
              <w:rPr>
                <w:rFonts w:eastAsia="Arial" w:cs="Arial"/>
                <w:b w:val="false"/>
                <w:bCs w:val="false"/>
                <w:color w:val="000000"/>
                <w:sz w:val="28"/>
                <w:szCs w:val="28"/>
                <w:lang w:val="ru-RU" w:eastAsia="zxx" w:bidi="ar-SA"/>
              </w:rPr>
              <w:t>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безвозмездное пользование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  <w:br/>
      </w:r>
    </w:p>
    <w:tbl>
      <w:tblPr>
        <w:tblW w:w="10065" w:type="dxa"/>
        <w:jc w:val="left"/>
        <w:tblInd w:w="-318" w:type="dxa"/>
        <w:tblBorders>
          <w:top w:val="single" w:sz="4" w:space="0" w:color="000001"/>
          <w:left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3686"/>
        <w:gridCol w:w="4111"/>
        <w:gridCol w:w="2268"/>
      </w:tblGrid>
      <w:tr>
        <w:trPr/>
        <w:tc>
          <w:tcPr>
            <w:tcW w:w="3686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Казна Псковской области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на 01.01.2018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Движимое имущество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814</w:t>
            </w:r>
          </w:p>
        </w:tc>
      </w:tr>
      <w:tr>
        <w:trPr>
          <w:trHeight w:val="265" w:hRule="atLeast"/>
        </w:trPr>
        <w:tc>
          <w:tcPr>
            <w:tcW w:w="3686" w:type="dxa"/>
            <w:vMerge w:val="continue"/>
            <w:tcBorders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Пакеты акций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>
        <w:trPr>
          <w:trHeight w:val="330" w:hRule="atLeast"/>
        </w:trPr>
        <w:tc>
          <w:tcPr>
            <w:tcW w:w="3686" w:type="dxa"/>
            <w:vMerge w:val="continue"/>
            <w:tcBorders>
              <w:left w:val="single" w:sz="4" w:space="0" w:color="000001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Доли в уставных капиталах обществ с ограниченной ответственностью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Недвижимое имущество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217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Земельные участки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961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b/>
                <w:b/>
                <w:bCs/>
                <w:sz w:val="24"/>
              </w:rPr>
            </w:pPr>
            <w:r>
              <w:rPr>
                <w:rFonts w:cs="Times New Roman"/>
                <w:b/>
                <w:bCs/>
                <w:sz w:val="24"/>
              </w:rPr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b/>
                <w:b/>
                <w:bCs/>
                <w:sz w:val="24"/>
              </w:rPr>
            </w:pPr>
            <w:r>
              <w:rPr>
                <w:rFonts w:cs="Times New Roman"/>
                <w:b/>
                <w:bCs/>
                <w:sz w:val="24"/>
              </w:rPr>
            </w:r>
          </w:p>
          <w:p>
            <w:pPr>
              <w:pStyle w:val="Normal"/>
              <w:ind w:left="-57" w:right="-57" w:hanging="0"/>
              <w:rPr>
                <w:rFonts w:cs="Times New Roman"/>
                <w:b/>
                <w:b/>
                <w:bCs/>
                <w:sz w:val="24"/>
              </w:rPr>
            </w:pPr>
            <w:r>
              <w:rPr>
                <w:rFonts w:cs="Times New Roman"/>
                <w:b/>
                <w:bCs/>
                <w:sz w:val="24"/>
              </w:rPr>
              <w:t>Количество объектов, учитываемых в Реестре по разделу Казна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  <w:p>
            <w:pPr>
              <w:pStyle w:val="Normal"/>
              <w:ind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    </w:t>
            </w:r>
            <w:r>
              <w:rPr>
                <w:rFonts w:cs="Times New Roman"/>
                <w:sz w:val="24"/>
              </w:rPr>
              <w:t>2002</w:t>
            </w:r>
          </w:p>
        </w:tc>
      </w:tr>
      <w:tr>
        <w:trPr/>
        <w:tc>
          <w:tcPr>
            <w:tcW w:w="3686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Передано в аренду из казны Псковской области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46</w:t>
            </w:r>
          </w:p>
        </w:tc>
      </w:tr>
      <w:tr>
        <w:trPr/>
        <w:tc>
          <w:tcPr>
            <w:tcW w:w="3686" w:type="dxa"/>
            <w:vMerge w:val="continue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Недвижимое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</w:tr>
      <w:tr>
        <w:trPr/>
        <w:tc>
          <w:tcPr>
            <w:tcW w:w="368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Земельные участки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131</w:t>
            </w:r>
          </w:p>
        </w:tc>
      </w:tr>
      <w:tr>
        <w:trPr/>
        <w:tc>
          <w:tcPr>
            <w:tcW w:w="3686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Передано в безвозмездное пользование из казны Псковской области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510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Недвижимое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Земельные участки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</w:tr>
      <w:tr>
        <w:trPr/>
        <w:tc>
          <w:tcPr>
            <w:tcW w:w="3686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Предварительное согласование предоставления из казны Псковской области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Земельные участки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444</w:t>
            </w:r>
          </w:p>
        </w:tc>
      </w:tr>
      <w:tr>
        <w:trPr/>
        <w:tc>
          <w:tcPr>
            <w:tcW w:w="3686" w:type="dxa"/>
            <w:vMerge w:val="restart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Закреплено в оперативное управление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18444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Недвижимое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3048</w:t>
            </w:r>
          </w:p>
        </w:tc>
      </w:tr>
      <w:tr>
        <w:trPr/>
        <w:tc>
          <w:tcPr>
            <w:tcW w:w="3686" w:type="dxa"/>
            <w:vMerge w:val="restart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Закреплено в хозяйственное ведение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1086</w:t>
            </w:r>
          </w:p>
        </w:tc>
      </w:tr>
      <w:tr>
        <w:trPr/>
        <w:tc>
          <w:tcPr>
            <w:tcW w:w="3686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Недвижимое имущество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412</w:t>
            </w:r>
          </w:p>
        </w:tc>
      </w:tr>
      <w:tr>
        <w:trPr/>
        <w:tc>
          <w:tcPr>
            <w:tcW w:w="3686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Предоставлено в постоянное (бессрочное) пользование</w:t>
            </w:r>
          </w:p>
        </w:tc>
        <w:tc>
          <w:tcPr>
            <w:tcW w:w="411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Земельные участки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57" w:right="-57" w:hanging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800</w:t>
            </w:r>
          </w:p>
        </w:tc>
      </w:tr>
    </w:tbl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snapToGrid w:val="false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Управление и распоряжение государственным имуществом Псковской области приоритетными задачами Государственного комитета Псковской области по имущественным отношениям являются следующие: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эффективное использование государственного имущества, закрепленного за государственными предприятиями, направленное на пополнение доходной части бюджета в виде части прибыли, перечисляемой в бюджет области;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приватизация государственного имущества;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сдача в аренду государственного имущества;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обеспечение сохранности государственного имущества;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учет и оформление прав на государственное имущество.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firstLine="283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целях реализации прогнозного плана (программы) приватизации государственного имущества в соответствии с приложение № 10 к Закону Псковской области </w:t>
      </w:r>
      <w:r>
        <w:rPr>
          <w:sz w:val="28"/>
          <w:szCs w:val="28"/>
        </w:rPr>
        <w:t xml:space="preserve">от  29.12.2016 № 1730-ОЗ «Об областном бюджете на 2017 год и на плановый период 2018 и 2019 годов» и прогнозного плана (программы) приватизации объектов области, стоимость каждого из которых не превышает 2000000 рублей, на 2017 год, утвержденного Постановлением Администрации Псковской области </w:t>
      </w:r>
      <w:r>
        <w:rPr>
          <w:rFonts w:cs="Times New Roman"/>
          <w:color w:val="000000"/>
          <w:sz w:val="28"/>
          <w:szCs w:val="28"/>
        </w:rPr>
        <w:t>от 14 апреля 2017 г. № 170 «Об утверждении п</w:t>
      </w:r>
      <w:r>
        <w:rPr>
          <w:rFonts w:cs="Times New Roman"/>
          <w:bCs/>
          <w:color w:val="000000"/>
          <w:sz w:val="28"/>
          <w:szCs w:val="28"/>
        </w:rPr>
        <w:t>рогнозного плана (программы</w:t>
      </w:r>
      <w:r>
        <w:rPr>
          <w:rFonts w:cs="Times New Roman"/>
          <w:color w:val="000000"/>
          <w:sz w:val="28"/>
          <w:szCs w:val="28"/>
        </w:rPr>
        <w:t>) приватизации имущества на 2017</w:t>
      </w:r>
      <w:r>
        <w:rPr>
          <w:rFonts w:cs="Times New Roman"/>
          <w:bCs/>
          <w:color w:val="000000"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было объявлено 8 аукционов по продаже объектов недвижимого имущества, 9 конкурсов, 3 аукцион по средствам публичного предложения, с общим количеством 38 лотов.</w:t>
      </w:r>
    </w:p>
    <w:p>
      <w:pPr>
        <w:pStyle w:val="Normal"/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Сведения о поступлении доходов в областной бюджет: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eastAsia="Times New Roman"/>
          <w:sz w:val="28"/>
          <w:szCs w:val="28"/>
        </w:rPr>
        <w:t>тыс. руб.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tbl>
      <w:tblPr>
        <w:tblW w:w="9498" w:type="dxa"/>
        <w:jc w:val="left"/>
        <w:tblInd w:w="-1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32" w:type="dxa"/>
          <w:bottom w:w="0" w:type="dxa"/>
          <w:right w:w="40" w:type="dxa"/>
        </w:tblCellMar>
        <w:tblLook w:val="0000"/>
      </w:tblPr>
      <w:tblGrid>
        <w:gridCol w:w="8221"/>
        <w:gridCol w:w="1276"/>
      </w:tblGrid>
      <w:tr>
        <w:trPr>
          <w:trHeight w:val="1123" w:hRule="exact"/>
        </w:trPr>
        <w:tc>
          <w:tcPr>
            <w:tcW w:w="8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10" w:firstLine="5"/>
              <w:jc w:val="both"/>
              <w:rPr>
                <w:sz w:val="24"/>
              </w:rPr>
            </w:pPr>
            <w:r>
              <w:rPr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РФ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23 276,9</w:t>
            </w:r>
          </w:p>
        </w:tc>
      </w:tr>
      <w:tr>
        <w:trPr>
          <w:trHeight w:val="1680" w:hRule="exact"/>
        </w:trPr>
        <w:tc>
          <w:tcPr>
            <w:tcW w:w="8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10" w:hanging="0"/>
              <w:jc w:val="both"/>
              <w:rPr/>
            </w:pPr>
            <w:r>
              <w:rPr>
                <w:sz w:val="24"/>
              </w:rPr>
              <w:t xml:space="preserve">Доходы, получаемые в виде арендной платы, а также средства от продажи  права на заключение договоров </w:t>
            </w:r>
            <w:r>
              <w:rPr>
                <w:spacing w:val="-1"/>
                <w:sz w:val="24"/>
              </w:rPr>
              <w:t xml:space="preserve">аренды за земли, находящиеся в собственности субъектов </w:t>
            </w:r>
            <w:r>
              <w:rPr>
                <w:sz w:val="24"/>
              </w:rPr>
              <w:t>РФ (за исключением зем. уч-ков автономных учреждений субъектов РФ, а также зем. уч-ков ГУП субъектов РФ, в том числе казенных)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6 217,7</w:t>
            </w:r>
          </w:p>
        </w:tc>
      </w:tr>
      <w:tr>
        <w:trPr>
          <w:trHeight w:val="1186" w:hRule="exact"/>
        </w:trPr>
        <w:tc>
          <w:tcPr>
            <w:tcW w:w="8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10" w:hanging="0"/>
              <w:jc w:val="both"/>
              <w:rPr/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гос. власти субъектов РФ   и   созданных   ими   учреждений   (за   исключением имущества автономных учреждений субъектов РФ)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4 239,7</w:t>
            </w:r>
          </w:p>
        </w:tc>
      </w:tr>
      <w:tr>
        <w:trPr>
          <w:trHeight w:val="845" w:hRule="exact"/>
        </w:trPr>
        <w:tc>
          <w:tcPr>
            <w:tcW w:w="822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5" w:hanging="0"/>
              <w:jc w:val="both"/>
              <w:rPr/>
            </w:pPr>
            <w:r>
              <w:rPr>
                <w:sz w:val="24"/>
              </w:rPr>
              <w:t>Доходы  от  перечисления  части   прибыли,  остающейся после уплаты налогов  и  иных обязательных платежей ГУП субъектов РФ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2 739,7</w:t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70" w:hRule="atLeast"/>
        </w:trPr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гос.власти субъектов РФ (за исключением им-ва автономных учр. субъектов РФ) в части реализации основных средств по указанному имуществу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  <w:vAlign w:val="bottom"/>
          </w:tcPr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  <w:t>112,7</w:t>
            </w:r>
          </w:p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8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jc w:val="both"/>
              <w:rPr/>
            </w:pPr>
            <w:r>
              <w:rPr>
                <w:sz w:val="24"/>
              </w:rPr>
              <w:t>Доходы от реализации иного имущества, находящегося в собственности     субъектов  РФ  (за исключением  им-ва автономных   учр.   субъектов  РФ,   а  также  им-ва  ГУП субъектов РФ, в том числе казенных)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4 636,9</w:t>
            </w:r>
          </w:p>
        </w:tc>
      </w:tr>
      <w:tr>
        <w:trPr>
          <w:trHeight w:val="1118" w:hRule="exact"/>
        </w:trPr>
        <w:tc>
          <w:tcPr>
            <w:tcW w:w="8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/>
            </w:pPr>
            <w:r>
              <w:rPr>
                <w:spacing w:val="-2"/>
                <w:sz w:val="24"/>
              </w:rPr>
              <w:t>Доходы от продажи земельных участков, находящихся в собственности субъектов РФ (за исключением земельных участков автономных учреждений субъектов РФ, а также зем. участков ГУП субъектов РФ, в том числе казенных)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1 409,6</w:t>
            </w:r>
          </w:p>
        </w:tc>
      </w:tr>
      <w:tr>
        <w:trPr>
          <w:trHeight w:val="1118" w:hRule="exact"/>
        </w:trPr>
        <w:tc>
          <w:tcPr>
            <w:tcW w:w="8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расположенные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казенных)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38271,86</w:t>
            </w:r>
          </w:p>
        </w:tc>
      </w:tr>
      <w:tr>
        <w:trPr>
          <w:trHeight w:val="702" w:hRule="exact"/>
        </w:trPr>
        <w:tc>
          <w:tcPr>
            <w:tcW w:w="8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22916,44</w:t>
            </w:r>
          </w:p>
        </w:tc>
      </w:tr>
      <w:tr>
        <w:trPr>
          <w:trHeight w:val="1143" w:hRule="exact"/>
        </w:trPr>
        <w:tc>
          <w:tcPr>
            <w:tcW w:w="8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по платежам за увеличение площади земельных участков по соглашениям о перераспределении земель и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3300,23</w:t>
            </w:r>
          </w:p>
        </w:tc>
      </w:tr>
    </w:tbl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В 2017 году  проведены  1 внеплановая и 11 плановых проверок эффективности использования имущества, закрепленного на праве оперативного управления за государственными учреждениями и на праве хозяйственного ведения за государственными унитарными предприятиями.</w:t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00"/>
        <w:jc w:val="both"/>
        <w:rPr>
          <w:rFonts w:cs="Tahoma"/>
          <w:b/>
          <w:b/>
          <w:sz w:val="28"/>
          <w:szCs w:val="28"/>
        </w:rPr>
      </w:pPr>
      <w:r>
        <w:rPr>
          <w:rFonts w:cs="Tahoma"/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snapToGrid w:val="false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0"/>
        <w:b/>
        <w:szCs w:val="20"/>
        <w:bCs w:val="false"/>
        <w:rFonts w:cs="Times New Roman"/>
        <w:lang w:val="ru-RU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614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auto"/>
      <w:sz w:val="20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Times New Roman"/>
      <w:b/>
      <w:bCs w:val="false"/>
      <w:sz w:val="20"/>
      <w:szCs w:val="20"/>
      <w:lang w:val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6B326-8638-45FF-A67E-A92D3252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LibreOffice/5.2.5.1$Windows_x86 LibreOffice_project/0312e1a284a7d50ca85a365c316c7abbf20a4d22</Application>
  <Pages>4</Pages>
  <Words>826</Words>
  <Characters>5621</Characters>
  <CharactersWithSpaces>6483</CharactersWithSpaces>
  <Paragraphs>140</Paragraphs>
  <Company>ГК по имущественным отношениям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2019-06-07T12:12:00Z</dcterms:created>
  <dc:creator>user</dc:creator>
  <dc:description/>
  <dc:language>ru-RU</dc:language>
  <cp:lastModifiedBy/>
  <cp:lastPrinted>2019-06-07T08:55:00Z</cp:lastPrinted>
  <dcterms:modified xsi:type="dcterms:W3CDTF">2019-06-10T12:48:56Z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ГК по имущественным отношениям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